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62" w:rsidRPr="00B1413A" w:rsidRDefault="00B1413A" w:rsidP="00B1413A">
      <w:pPr>
        <w:rPr>
          <w:rFonts w:ascii="Times New Roman" w:hAnsi="Times New Roman" w:cs="Times New Roman"/>
          <w:sz w:val="24"/>
          <w:szCs w:val="24"/>
        </w:rPr>
      </w:pPr>
      <w:r w:rsidRPr="00B1413A">
        <w:rPr>
          <w:rFonts w:ascii="Times New Roman" w:hAnsi="Times New Roman" w:cs="Times New Roman"/>
          <w:sz w:val="24"/>
          <w:szCs w:val="24"/>
        </w:rPr>
        <w:t>Информация по з</w:t>
      </w:r>
      <w:r w:rsidR="00E611F4" w:rsidRPr="00B1413A">
        <w:rPr>
          <w:rFonts w:ascii="Times New Roman" w:hAnsi="Times New Roman" w:cs="Times New Roman"/>
          <w:sz w:val="24"/>
          <w:szCs w:val="24"/>
        </w:rPr>
        <w:t>аключени</w:t>
      </w:r>
      <w:r w:rsidRPr="00B1413A">
        <w:rPr>
          <w:rFonts w:ascii="Times New Roman" w:hAnsi="Times New Roman" w:cs="Times New Roman"/>
          <w:sz w:val="24"/>
          <w:szCs w:val="24"/>
        </w:rPr>
        <w:t>ю</w:t>
      </w:r>
      <w:r w:rsidR="00E611F4" w:rsidRPr="00B1413A">
        <w:rPr>
          <w:rFonts w:ascii="Times New Roman" w:hAnsi="Times New Roman" w:cs="Times New Roman"/>
          <w:sz w:val="24"/>
          <w:szCs w:val="24"/>
        </w:rPr>
        <w:t xml:space="preserve"> </w:t>
      </w:r>
      <w:r w:rsidRPr="00B1413A">
        <w:rPr>
          <w:rFonts w:ascii="Times New Roman" w:hAnsi="Times New Roman" w:cs="Times New Roman"/>
          <w:sz w:val="24"/>
          <w:szCs w:val="24"/>
        </w:rPr>
        <w:t>на проект решения Представительного Собрания Никольского муниципального округа «О бюджете округа на 2024 год и плановый период 2025 и 2026 годов»</w:t>
      </w:r>
    </w:p>
    <w:p w:rsidR="00B1413A" w:rsidRDefault="00B1413A" w:rsidP="00B1413A">
      <w:pPr>
        <w:rPr>
          <w:rFonts w:ascii="Times New Roman" w:hAnsi="Times New Roman" w:cs="Times New Roman"/>
          <w:sz w:val="28"/>
          <w:szCs w:val="28"/>
        </w:rPr>
      </w:pPr>
    </w:p>
    <w:p w:rsidR="00B1413A" w:rsidRPr="00B1413A" w:rsidRDefault="00B1413A" w:rsidP="00B141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о бюджете округа на 2024 год и плановый период 2025 и 2026 годов подготовлен и внесен на рассмотрение Представительного Собрания Никольского муниципального округа в с</w:t>
      </w:r>
      <w:bookmarkStart w:id="0" w:name="_GoBack"/>
      <w:bookmarkEnd w:id="0"/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оответствии с требованиями статей 169, 171-173, 174.1, 179, 184, 184.1, 185 Бюджетного кодекса Российской Федерации. </w:t>
      </w:r>
    </w:p>
    <w:p w:rsidR="00B1413A" w:rsidRPr="00B1413A" w:rsidRDefault="00B1413A" w:rsidP="00B141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содержание документов, представленных одновременно с проектом решения, соответствуют статье 184.2 БК РФ и п. 4.1. Положения о бюджетном процессе округа.</w:t>
      </w:r>
    </w:p>
    <w:p w:rsidR="00B1413A" w:rsidRPr="00B1413A" w:rsidRDefault="00B1413A" w:rsidP="00B141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проектом решения о бюджете на очередной финансовый год представлен одобренный «прогноз социально-экономического развития Никольского муниципального округа на 2024 год и плановый период 2025 и 2026 годов». Данные, представленные в прогнозе, свидетельствуют о том, что динамика макроэкономических показателей характеризует умеренные темпы развития экономики Никольского муниципального округа и его социальной сферы. </w:t>
      </w:r>
    </w:p>
    <w:p w:rsidR="00B1413A" w:rsidRPr="00B1413A" w:rsidRDefault="00B1413A" w:rsidP="00B141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экспертизы проекта решения о бюджете округа, проведенной Контрольно-счетным комитетом Никольского муниципального района в соответствии с установленными ст. 157 БК РФ бюджетными полномочиями органов внешнего муниципального финансового контроля, в целом подтверждается реалистичность предлагаемых характеристик Проекта бюджета, а также соответствие, в основном, принимаемых бюджетных обязательств целям и задачам социально-экономической и бюджетной политики, определенным в программных документах Никольского муниципального округа, что</w:t>
      </w:r>
      <w:proofErr w:type="gramEnd"/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требованиям бюджетного законодательства. </w:t>
      </w:r>
    </w:p>
    <w:p w:rsidR="00B1413A" w:rsidRPr="00B1413A" w:rsidRDefault="00B1413A" w:rsidP="00B141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бюджета округа сформированы в условиях изменения налогового и бюджетного законодательства. В основу расчёта доходной части бюджета округа заложены показатели, отражающие динамику умеренных темпов развития экономики Никольского муниципального округа, а также учтена оценка ожидаемого поступления доходов в бюджет округа в 2023 году и прогноз поступлений по данным главных администраторов доходов бюджета округа. Представленные расчеты по налоговым и неналоговым доходам составлены обоснованно. Анализ основных характеристик проекта бюджета установил их соответствие требованиям статей 31 – 38.1 БК РФ. </w:t>
      </w:r>
    </w:p>
    <w:p w:rsidR="00B1413A" w:rsidRPr="00B1413A" w:rsidRDefault="00B1413A" w:rsidP="00B141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 бюджета включены безвозмездные поступления из других бюджетов бюджетной системы Российской Федерации в соответствии с проектом областного закона о бюджете</w:t>
      </w:r>
      <w:proofErr w:type="gramEnd"/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Пояснительной записке не отражен сравнительный анализ по Субвенциям от других бюджетов бюджетной системы Российской Федерации и</w:t>
      </w:r>
      <w:proofErr w:type="gramStart"/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межбюджетным трансфертам.</w:t>
      </w:r>
    </w:p>
    <w:p w:rsidR="00B1413A" w:rsidRPr="00B1413A" w:rsidRDefault="00B1413A" w:rsidP="00B141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отраслей социальной сферы определено одним из приоритетных направлений бюджета округа на весь трехлетний период. Бюджет носит «социальный» характер, доля расходов, направленных на социальную политику, составляет в пределах 78% от общей суммы расходов. </w:t>
      </w:r>
    </w:p>
    <w:p w:rsidR="00B1413A" w:rsidRPr="00B1413A" w:rsidRDefault="00B1413A" w:rsidP="00B141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Никольского муниципального округа на трехлетний период сформирован с учетом программной структуры расходов, на основе утвержденных на реализацию мероприятий 12 муниципальных программ. Учитывая, что в исследуемом Проекте решения о бюджете финансовое обеспечение муниципальных программ на 2024 год составляет 99,3 % от общего объема расходов бюджета.</w:t>
      </w:r>
    </w:p>
    <w:p w:rsidR="00B1413A" w:rsidRPr="00B1413A" w:rsidRDefault="00B1413A" w:rsidP="00B141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 целью объективного проведения экспертно-аналитического мероприятия и оценке предусмотренных объёмов бюджетных ассигнований на их реализацию, дополнить структуру пояснительной записки, предоставляемой к Проекту решения о бюджете, показателями муниципальных программ по годам их реализации, с описанием причин и условий изменений (отклонений) по отношению к предыдущему году – «Программный формат»; В соответствии с тем, что имеются отклонения показателей бюджета и финансового обеспечения муниципальных программ,  согласно ст. 179 Бюджетного кодекса РФ муниципальные программы подлежат приведению в соответствие с решением о бюджете не позднее 1 апреля текущего финансового года.</w:t>
      </w:r>
    </w:p>
    <w:p w:rsidR="00B1413A" w:rsidRPr="00B1413A" w:rsidRDefault="00B1413A" w:rsidP="00B141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Соблюдаются требования и ограничения, установленные бюджетным законодательством: </w:t>
      </w:r>
    </w:p>
    <w:p w:rsidR="00B1413A" w:rsidRPr="00B1413A" w:rsidRDefault="00B1413A" w:rsidP="00B141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размеру резервного фонда администрации Никольского муниципального округа (соответствует требованиям ч. 3 ст. 81 БК РФ), </w:t>
      </w:r>
    </w:p>
    <w:p w:rsidR="00B1413A" w:rsidRPr="00B1413A" w:rsidRDefault="00B1413A" w:rsidP="00B141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объему бюджетных ассигнований Дорожного фонда Никольского муниципального округа (соответствует требованиям ч. 4 ст. 179.4 БК РФ), </w:t>
      </w:r>
    </w:p>
    <w:p w:rsidR="00B1413A" w:rsidRPr="00B1413A" w:rsidRDefault="00B1413A" w:rsidP="00B141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общему объему условно утверждаемых расходов (соответствует требованиям ч. 3 ст. 184.1 БК РФ), </w:t>
      </w:r>
    </w:p>
    <w:p w:rsidR="00B1413A" w:rsidRPr="00B1413A" w:rsidRDefault="00B1413A" w:rsidP="00B141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утверждением бюджетных ассигнований, направляемых на исполнение публичных нормативных обязательств (соответствуют требованиям ч. 3 ст. 184.1 БК РФ). </w:t>
      </w:r>
    </w:p>
    <w:p w:rsidR="00B1413A" w:rsidRPr="00B1413A" w:rsidRDefault="00B1413A" w:rsidP="00B141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бюджетных кредитов в 2024, 2025 и в 2026 годах, а также осуществление внешних заимствований проектом не предусмотрено, предоставление муниципальных гарантий округом не планируется.</w:t>
      </w:r>
    </w:p>
    <w:p w:rsidR="00B1413A" w:rsidRPr="00B1413A" w:rsidRDefault="00B1413A" w:rsidP="00B141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структурой расходов проекта решения бюджетные ассигнования установлены для исполнения шестью главными распорядителями бюджетных средств.</w:t>
      </w:r>
    </w:p>
    <w:p w:rsidR="00B1413A" w:rsidRPr="006E4208" w:rsidRDefault="00B1413A" w:rsidP="00B141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вышеизложенное, Контрольно-счетный комитет  Никольского муниципального района  считает, что проект решения Представительного Собрания округа  «О бюджете округа на 2024 год и плановый период 2025 и 2026 годов» в целом подготовлен в соответствии с требованиями бюджетного законодательства, экономически обоснован, достоверен, соответствует основным направлениям бюджетной, долговой и налоговой политики на 2024-2026 годы и основным показателям прогноза социально-экономического развития округа на 2024-2026 годы.</w:t>
      </w:r>
      <w:proofErr w:type="gramEnd"/>
    </w:p>
    <w:sectPr w:rsidR="00B1413A" w:rsidRPr="006E4208" w:rsidSect="00B1413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F4"/>
    <w:rsid w:val="00070562"/>
    <w:rsid w:val="002C65E5"/>
    <w:rsid w:val="005826E3"/>
    <w:rsid w:val="006E4208"/>
    <w:rsid w:val="00A22271"/>
    <w:rsid w:val="00AC7998"/>
    <w:rsid w:val="00B1413A"/>
    <w:rsid w:val="00DC4285"/>
    <w:rsid w:val="00E611F4"/>
    <w:rsid w:val="00E9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1F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1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3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2020-05-14T08:21:00Z</dcterms:created>
  <dcterms:modified xsi:type="dcterms:W3CDTF">2023-12-19T12:27:00Z</dcterms:modified>
</cp:coreProperties>
</file>